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right" w:leader="none" w:pos="10080"/>
        </w:tabs>
        <w:spacing w:line="264" w:lineRule="auto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40"/>
          <w:szCs w:val="40"/>
          <w:rtl w:val="0"/>
        </w:rPr>
        <w:t xml:space="preserve">Alexandra Cenatus</w:t>
      </w:r>
      <w:r w:rsidDel="00000000" w:rsidR="00000000" w:rsidRPr="00000000">
        <w:rPr>
          <w:rFonts w:ascii="Georgia" w:cs="Georgia" w:eastAsia="Georgia" w:hAnsi="Georgia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Baltimore, MD 212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18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• (786) 413-6931 </w:t>
      </w:r>
    </w:p>
    <w:p w:rsidR="00000000" w:rsidDel="00000000" w:rsidP="00000000" w:rsidRDefault="00000000" w:rsidRPr="00000000" w14:paraId="00000002">
      <w:pPr>
        <w:spacing w:line="264" w:lineRule="auto"/>
        <w:jc w:val="right"/>
        <w:rPr>
          <w:rFonts w:ascii="Georgia" w:cs="Georgia" w:eastAsia="Georgia" w:hAnsi="Georgia"/>
          <w:color w:val="000000"/>
          <w:sz w:val="22"/>
          <w:szCs w:val="22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acenatus2@gmail.com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•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L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inkedin.com/in/acenatus</w:t>
      </w:r>
      <w:r w:rsidDel="00000000" w:rsidR="00000000" w:rsidRPr="00000000">
        <w:rPr>
          <w:rFonts w:ascii="Georgia" w:cs="Georgia" w:eastAsia="Georgia" w:hAnsi="Georgia"/>
          <w:color w:val="000000"/>
          <w:sz w:val="21"/>
          <w:szCs w:val="2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1" w:line="252.00000000000003" w:lineRule="auto"/>
        <w:ind w:right="157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" w:firstLine="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PhD in Progress: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Language, Literature, and Culture, University of Maryland, Baltimore County, MD   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                   2029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9" w:firstLine="0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Master of Arts: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Latin American and Caribbean Studies, University of Florida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Gainesville, FL </w:t>
        <w:tab/>
        <w:tab/>
        <w:t xml:space="preserve">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2018 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1" w:firstLine="0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Bachelor of Arts: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Political Science and Government, University of Florida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Gainesville, FL </w:t>
        <w:tab/>
        <w:tab/>
        <w:t xml:space="preserve">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2015 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119"/>
          <w:tab w:val="left" w:leader="none" w:pos="10560"/>
        </w:tabs>
        <w:spacing w:before="240" w:lineRule="auto"/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  <w:highlight w:val="white"/>
          <w:rtl w:val="0"/>
        </w:rPr>
        <w:t xml:space="preserve">HONORS, AWARDS, &amp; ACHIEVEMENTS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52.00000000000003" w:lineRule="auto"/>
        <w:ind w:left="720" w:right="157" w:hanging="36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333333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highlight w:val="white"/>
          <w:rtl w:val="0"/>
        </w:rPr>
        <w:t xml:space="preserve">Named one of the </w:t>
      </w: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highlight w:val="white"/>
            <w:u w:val="single"/>
            <w:rtl w:val="0"/>
          </w:rPr>
          <w:t xml:space="preserve">Maryland Daily Record's 2025 Leading Women Under 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52.00000000000003" w:lineRule="auto"/>
        <w:ind w:left="720" w:right="157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Appointed by Maryland Governor Wes Moore  to serve on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the </w:t>
      </w:r>
      <w:hyperlink r:id="rId8">
        <w:r w:rsidDel="00000000" w:rsidR="00000000" w:rsidRPr="00000000">
          <w:rPr>
            <w:rFonts w:ascii="Georgia" w:cs="Georgia" w:eastAsia="Georgia" w:hAnsi="Georgia"/>
            <w:b w:val="0"/>
            <w:b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250 Maryland Commission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whose objective is to coordinate and plan activities with local commissions and private and public partners across the state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Selected for the inaugural cohort of </w:t>
      </w:r>
      <w:hyperlink r:id="rId9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Leadership Maryland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'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 Emerging Leader Program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Authored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hyperlink r:id="rId10">
        <w:r w:rsidDel="00000000" w:rsidR="00000000" w:rsidRPr="00000000">
          <w:rPr>
            <w:rFonts w:ascii="Georgia" w:cs="Georgia" w:eastAsia="Georgia" w:hAnsi="Georgia"/>
            <w:b w:val="0"/>
            <w:bCs w:val="0"/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toolkit</w:t>
        </w:r>
      </w:hyperlink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for </w:t>
      </w:r>
      <w:hyperlink r:id="rId11">
        <w:r w:rsidDel="00000000" w:rsidR="00000000" w:rsidRPr="00000000">
          <w:rPr>
            <w:rFonts w:ascii="Georgia" w:cs="Georgia" w:eastAsia="Georgia" w:hAnsi="Georgia"/>
            <w:b w:val="0"/>
            <w:b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WeaveTales</w:t>
        </w:r>
      </w:hyperlink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equipping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organizations or companies with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with actionable frameworks to foster engagement and belonging for their immigrants or refugees employees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highlight w:val="white"/>
          <w:rtl w:val="0"/>
        </w:rPr>
        <w:t xml:space="preserve">Awarded the 2022 David &amp; Wanda Brown Presidential Service Award by the University of Florida for demonstrated leadership in advancing civic engagement within the university and broader community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sz w:val="20"/>
          <w:szCs w:val="20"/>
          <w:u w:val="none"/>
        </w:rPr>
      </w:pP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Served as Assistant Producer for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Liberty in a Soup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a documentary examining the cultural significance of Soup Joumou, a Haitian dish recognized on UNESCO's Intangible Cultural Heritage list in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00"/>
        </w:tabs>
        <w:spacing w:before="240" w:lineRule="auto"/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1"/>
          <w:color w:val="000000"/>
          <w:sz w:val="20"/>
          <w:szCs w:val="20"/>
          <w:highlight w:val="white"/>
          <w:rtl w:val="0"/>
        </w:rPr>
        <w:t xml:space="preserve">WORK HISTORY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Director of Programming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2022 to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Maryland Humanities (MH)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Baltimore, MD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f1f1f"/>
          <w:sz w:val="20"/>
          <w:szCs w:val="20"/>
          <w:highlight w:val="white"/>
          <w:rtl w:val="0"/>
        </w:rPr>
        <w:t xml:space="preserve">Strategic Vision and Execution:</w:t>
      </w:r>
      <w:r w:rsidDel="00000000" w:rsidR="00000000" w:rsidRPr="00000000">
        <w:rPr>
          <w:rFonts w:ascii="Georgia" w:cs="Georgia" w:eastAsia="Georgia" w:hAnsi="Georgia"/>
          <w:color w:val="1f1f1f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Lead six Maryland Humanities programs and special initiatives through innovative thinking, community-centered strategies, and strategic partnerships while guiding implementation of the organization's five-year strategic plan and supporting program officers to refine programs for enhanced impact, clarity, and alignment with organizational 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Team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Leadership and Development: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Foster organizational culture of continuous learning through targeted staff coaching, strategic retreats, professional development workshops, and asset-mapping techniques to strengthen processes, build capacity, and align staff growth with evolving organizational goals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Executive Collaboration: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Partner with Board and leadership team to advance organizational vision through cross-departmental coordination, leveraging existing expertise, and fostering alignment around strategic priorities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Budget Development and Oversight: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Manage $1 million program budget serving 100,000+ residents across all Maryland counties through strategic resource allocation; collaborate with the programming team and Operations team to develop budgets, ensure fiscal compliance, and align spending with organizational priorities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Advancement and Grantmaking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Partner with the Advancement team to craft grant proposals and submit reports, successfully securing vital funding for initiatives, such as </w:t>
      </w:r>
      <w:hyperlink r:id="rId12">
        <w:r w:rsidDel="00000000" w:rsidR="00000000" w:rsidRPr="00000000">
          <w:rPr>
            <w:rFonts w:ascii="Georgia" w:cs="Georgia" w:eastAsia="Georgia" w:hAnsi="Georgia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United We Stand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from federal agencies like the </w:t>
      </w:r>
      <w:hyperlink r:id="rId13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National Endowment for the Humanities (NEH)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foundations, and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corporate partners, guiding the evolution of Maryland Humanities’ programs and expanding its impact and reach across Maryland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Monitoring and Evaluation Processes: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Implemented comprehensive data strategy combining qualitative methods (listening sessions, graphic recordings, and 1:1 interviews) and quantitative surveys to evaluate Maryland Humanities' impact, resulting in expanded community engagement and multiple pathways for stakeholder input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Relationship Building and Partnerships: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Represent Maryland Humanities at regional and statewide events to build strategic partnerships that strengthen the humanities ecosystem, creating collaborative environments where organizations share resources, exchange knowledge, and drive collective innovation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470"/>
        </w:tabs>
        <w:spacing w:after="0" w:before="0" w:line="240" w:lineRule="auto"/>
        <w:ind w:left="720" w:right="0" w:firstLine="0"/>
        <w:jc w:val="left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Assistant Director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Programming and Public Engagement </w:t>
        <w:tab/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 xml:space="preserve">              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2019 to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University of Florida (UF) Center for the Humanities and the Public Sphere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Gainesville, FL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f1f1f"/>
          <w:sz w:val="20"/>
          <w:szCs w:val="20"/>
          <w:highlight w:val="white"/>
          <w:rtl w:val="0"/>
        </w:rPr>
        <w:t xml:space="preserve">Strategic Vision and Execution: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Designed and implemented </w:t>
      </w:r>
      <w:hyperlink r:id="rId14">
        <w:r w:rsidDel="00000000" w:rsidR="00000000" w:rsidRPr="00000000">
          <w:rPr>
            <w:rFonts w:ascii="Georgia" w:cs="Georgia" w:eastAsia="Georgia" w:hAnsi="Georgia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Conversations in the Neighborhood</w:t>
        </w:r>
      </w:hyperlink>
      <w:hyperlink r:id="rId15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: </w:t>
        </w:r>
      </w:hyperlink>
      <w:hyperlink r:id="rId16">
        <w:r w:rsidDel="00000000" w:rsidR="00000000" w:rsidRPr="00000000">
          <w:rPr>
            <w:rFonts w:ascii="Georgia" w:cs="Georgia" w:eastAsia="Georgia" w:hAnsi="Georgia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Let’s Talk about Food</w:t>
        </w:r>
      </w:hyperlink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a public humanities series, with over 15 partners, including the City of Gainesville Office of Equity and Inclusion, which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engaged Gainesville residents with 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UF and reached 16,000 people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" w:lineRule="auto"/>
        <w:ind w:left="720" w:right="27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Leadership and Talent Development: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Curated a space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 humanities students by advocating for underrepresented student groups, matching students with mentors, and organizing monthly events, which has increased the </w:t>
      </w:r>
      <w:hyperlink r:id="rId17">
        <w:r w:rsidDel="00000000" w:rsidR="00000000" w:rsidRPr="00000000">
          <w:rPr>
            <w:rFonts w:ascii="Georgia" w:cs="Georgia" w:eastAsia="Georgia" w:hAnsi="Georgia"/>
            <w:b w:val="0"/>
            <w:bCs w:val="0"/>
            <w:i w:val="1"/>
            <w:iCs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Humanities Engagement Scholars (HES) program</w:t>
        </w:r>
      </w:hyperlink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's enrollment by 70%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5"/>
        </w:numPr>
        <w:tabs>
          <w:tab w:val="left" w:leader="none" w:pos="7470"/>
        </w:tabs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Budget Development and Oversight: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Managed $30,000 budget for workshops, strategically allocating resources to deliver high-quality programming within budgetary constraints and organizational priorities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5"/>
        </w:numPr>
        <w:tabs>
          <w:tab w:val="left" w:leader="none" w:pos="7470"/>
        </w:tabs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Grantee Support and Grantmaking: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Coordinated the </w:t>
      </w:r>
      <w:hyperlink r:id="rId18">
        <w:r w:rsidDel="00000000" w:rsidR="00000000" w:rsidRPr="00000000">
          <w:rPr>
            <w:rFonts w:ascii="Georgia" w:cs="Georgia" w:eastAsia="Georgia" w:hAnsi="Georgia"/>
            <w:b w:val="0"/>
            <w:bCs w:val="0"/>
            <w:i w:val="1"/>
            <w:iCs w:val="1"/>
            <w:smallCaps w:val="0"/>
            <w:strike w:val="0"/>
            <w:color w:val="000000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Humanities Center's Programs in the Public Humanities Grants</w:t>
        </w:r>
      </w:hyperlink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by providing one-on-one coaching  for faculty, students, and community members on their grant applications, which led to an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increase in applications and impact in communities</w:t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7470"/>
        </w:tabs>
        <w:rPr>
          <w:rFonts w:ascii="Georgia" w:cs="Georgia" w:eastAsia="Georgia" w:hAnsi="Georgi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7470"/>
        </w:tabs>
        <w:rPr>
          <w:rFonts w:ascii="Georgia" w:cs="Georgia" w:eastAsia="Georgia" w:hAnsi="Georgi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tabs>
          <w:tab w:val="left" w:leader="none" w:pos="7470"/>
        </w:tabs>
        <w:rPr>
          <w:rFonts w:ascii="Georgia" w:cs="Georgia" w:eastAsia="Georgia" w:hAnsi="Georgi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Curator</w:t>
        <w:tab/>
        <w:tab/>
        <w:tab/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2019 to 2020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University of Florida George A. Smathers Libraries – Gainesville, FL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Research and Project Management: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Co-created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the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hyperlink r:id="rId19">
        <w:r w:rsidDel="00000000" w:rsidR="00000000" w:rsidRPr="00000000">
          <w:rPr>
            <w:rFonts w:ascii="Georgia" w:cs="Georgia" w:eastAsia="Georgia" w:hAnsi="Georgia"/>
            <w:i w:val="1"/>
            <w:iCs w:val="1"/>
            <w:color w:val="1155cc"/>
            <w:sz w:val="20"/>
            <w:szCs w:val="20"/>
            <w:u w:val="single"/>
            <w:rtl w:val="0"/>
          </w:rPr>
          <w:t xml:space="preserve">Haitian American Dream Timeline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a digital humanities project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synthesizing multilingual sources (French, English, Haitian Creole) to chronicle Haitian immigrant narratives; featured by L'Union Suite for its contribution to Haitian diaspora history and cultural preservation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Teacher, 4th Grade</w:t>
        <w:tab/>
        <w:tab/>
        <w:tab/>
        <w:tab/>
        <w:tab/>
        <w:tab/>
        <w:tab/>
        <w:t xml:space="preserve">              </w:t>
        <w:tab/>
        <w:tab/>
        <w:tab/>
        <w:t xml:space="preserve">                2018 to 2019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Marjorie K. Rawlings Elementary School – Gainesville, FL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Teaching and Technologies: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Designed and delivered interactive lesson plans and small group instruction for 25 students, tailoring teaching approaches to match their strengths and needs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Organizational Culture and Relationship Building: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Interacted with internal and external stakeholders through emails, notes, and phone calls to discuss students' progress and develop intervention plans for those requiring additional support, enhancing students' academic success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Graduate Teaching Assistant </w:t>
        <w:tab/>
        <w:tab/>
        <w:tab/>
        <w:tab/>
        <w:tab/>
        <w:tab/>
        <w:tab/>
        <w:tab/>
        <w:tab/>
        <w:t xml:space="preserve">2016 to 2018 </w:t>
      </w:r>
    </w:p>
    <w:p w:rsidR="00000000" w:rsidDel="00000000" w:rsidP="00000000" w:rsidRDefault="00000000" w:rsidRPr="00000000" w14:paraId="0000002C">
      <w:pPr>
        <w:rPr>
          <w:rFonts w:ascii="Georgia" w:cs="Georgia" w:eastAsia="Georgia" w:hAnsi="Georgia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University of Florida Center for Latin American Studies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– Gainesville, FL</w:t>
      </w:r>
      <w:r w:rsidDel="00000000" w:rsidR="00000000" w:rsidRPr="00000000">
        <w:rPr>
          <w:rFonts w:ascii="Georgia" w:cs="Georgia" w:eastAsia="Georgia" w:hAnsi="Georgi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35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Teaching and Technologies: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Adapted college-level curriculum and training modules  based on findings from surveys, increasing enrollment and improving the experience of 80+ students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highlight w:val="white"/>
          <w:rtl w:val="0"/>
        </w:rPr>
        <w:t xml:space="preserve">Research and Relationship Building: </w:t>
      </w:r>
      <w:r w:rsidDel="00000000" w:rsidR="00000000" w:rsidRPr="00000000">
        <w:rPr>
          <w:rFonts w:ascii="Georgia" w:cs="Georgia" w:eastAsia="Georgia" w:hAnsi="Georgia"/>
          <w:color w:val="1e1e23"/>
          <w:sz w:val="20"/>
          <w:szCs w:val="20"/>
          <w:rtl w:val="0"/>
        </w:rPr>
        <w:t xml:space="preserve">Managed an ethnographic research project from start to finish in Jacmel, Haiti, including drafting research protocols,  conducting in-depth interviews, and publishing reports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Georgia" w:cs="Georgia" w:eastAsia="Georgia" w:hAnsi="Georgia"/>
          <w:color w:val="1e1e2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sz w:val="20"/>
          <w:szCs w:val="20"/>
          <w:highlight w:val="whit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SNAPSHOT OF ADVISORY/CONSULTING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52.00000000000003" w:lineRule="auto"/>
        <w:ind w:left="720" w:right="157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Board member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of the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</w:t>
      </w:r>
      <w:hyperlink r:id="rId20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Haitian Studies Association (HSA)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an organization that provides a forum for the exchange of knowledge in order to inform pedagogy and policy about Haiti in a global context, 2024-Present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52.00000000000003" w:lineRule="auto"/>
        <w:ind w:left="720" w:right="157" w:hanging="360"/>
        <w:jc w:val="left"/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Board member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of </w:t>
      </w:r>
      <w:hyperlink r:id="rId21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WeaveTales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an organization that aims to correct misconceptions about immigration through education and empowering immigrants to tell their own stories, 2023-2025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6"/>
        </w:numPr>
        <w:spacing w:after="0" w:afterAutospacing="0" w:before="11" w:line="252.00000000000003" w:lineRule="auto"/>
        <w:ind w:left="720" w:right="157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Language Access Consultant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for the </w:t>
      </w:r>
      <w:hyperlink r:id="rId22">
        <w:r w:rsidDel="00000000" w:rsidR="00000000" w:rsidRPr="00000000">
          <w:rPr>
            <w:rFonts w:ascii="Georgia" w:cs="Georgia" w:eastAsia="Georgia" w:hAnsi="Georgia"/>
            <w:color w:val="1155cc"/>
            <w:sz w:val="20"/>
            <w:szCs w:val="20"/>
            <w:u w:val="single"/>
            <w:rtl w:val="0"/>
          </w:rPr>
          <w:t xml:space="preserve">UFW Foundation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a nonprofit organization that advocates for workers’ rights and protections for farm workers across the United States and provides educational outreach,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before="0" w:beforeAutospacing="0" w:line="252.00000000000003" w:lineRule="auto"/>
        <w:ind w:left="720" w:right="16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Consultant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for the </w:t>
      </w:r>
      <w:hyperlink r:id="rId23">
        <w:r w:rsidDel="00000000" w:rsidR="00000000" w:rsidRPr="00000000">
          <w:rPr>
            <w:rFonts w:ascii="Georgia" w:cs="Georgia" w:eastAsia="Georgia" w:hAnsi="Georgia"/>
            <w:color w:val="0563c1"/>
            <w:sz w:val="20"/>
            <w:szCs w:val="20"/>
            <w:u w:val="single"/>
            <w:rtl w:val="0"/>
          </w:rPr>
          <w:t xml:space="preserve">UF Intersections Leadership Team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a $400,000 Mellon-funded project by providing strategies to support students' learning and civic engagement with communities, 2020-2022</w:t>
      </w:r>
    </w:p>
    <w:p w:rsidR="00000000" w:rsidDel="00000000" w:rsidP="00000000" w:rsidRDefault="00000000" w:rsidRPr="00000000" w14:paraId="00000035">
      <w:pPr>
        <w:rPr>
          <w:rFonts w:ascii="Georgia" w:cs="Georgia" w:eastAsia="Georgia" w:hAnsi="Georgia"/>
          <w:color w:val="000000"/>
          <w:sz w:val="20"/>
          <w:szCs w:val="20"/>
          <w:shd w:fill="f4cc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SNAPSHOT OF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STRATEGIC VISION AND EXECUTION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MD250 Initiative: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The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Revolution, Reaction, and Reform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series adopts National History Day's thematic framework to explore the places, people, and events that have shaped Maryland's history and identity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Virtual Series: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Led the Maryland Humanities </w:t>
      </w:r>
      <w:hyperlink r:id="rId24">
        <w:r w:rsidDel="00000000" w:rsidR="00000000" w:rsidRPr="00000000">
          <w:rPr>
            <w:rFonts w:ascii="Georgia" w:cs="Georgia" w:eastAsia="Georgia" w:hAnsi="Georgia"/>
            <w:i w:val="1"/>
            <w:iCs w:val="1"/>
            <w:sz w:val="20"/>
            <w:szCs w:val="20"/>
            <w:u w:val="single"/>
            <w:rtl w:val="0"/>
          </w:rPr>
          <w:t xml:space="preserve">Designing Culturally Inclusive Programming</w:t>
        </w:r>
      </w:hyperlink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series, educating the general public on topics, such as leadership, collaboration, and program implementation), strengthening Maryland nonprofit infrastructures, 2022-2023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Exhibit: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Created the </w:t>
      </w:r>
      <w:hyperlink r:id="rId25">
        <w:r w:rsidDel="00000000" w:rsidR="00000000" w:rsidRPr="00000000">
          <w:rPr>
            <w:rFonts w:ascii="Georgia" w:cs="Georgia" w:eastAsia="Georgia" w:hAnsi="Georgia"/>
            <w:i w:val="1"/>
            <w:iCs w:val="1"/>
            <w:sz w:val="20"/>
            <w:szCs w:val="20"/>
            <w:u w:val="single"/>
            <w:rtl w:val="0"/>
          </w:rPr>
          <w:t xml:space="preserve">Black Creativity: Expressions and its Gifts</w:t>
        </w:r>
      </w:hyperlink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with the A. Quinn Jones Museum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an exhibit that focused on the portrayal of love in Black literature, February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SNAPSHOT OF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PUBLIC SPEAKING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Cenatus, A.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(2025, October). </w:t>
      </w:r>
      <w:r w:rsidDel="00000000" w:rsidR="00000000" w:rsidRPr="00000000">
        <w:rPr>
          <w:rFonts w:ascii="Georgia" w:cs="Georgia" w:eastAsia="Georgia" w:hAnsi="Georgia"/>
          <w:i w:val="1"/>
          <w:iCs w:val="1"/>
          <w:sz w:val="20"/>
          <w:szCs w:val="20"/>
          <w:rtl w:val="0"/>
        </w:rPr>
        <w:t xml:space="preserve">Transforming our Approach to Community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[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Keynote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]. Strategy and Solidarity. Online Conversation Series. Zoom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Cenatus, A.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, Lindley, R., and Sawyer, A. (2024, Jun.). Intersectionality at Work [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Panel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]. Associated Black Charities. Webinar Series. Zoom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ind w:left="720" w:hanging="360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Cenatus, A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. (2024, Jun.). The </w:t>
      </w:r>
      <w:r w:rsidDel="00000000" w:rsidR="00000000" w:rsidRPr="00000000">
        <w:rPr>
          <w:rFonts w:ascii="Georgia" w:cs="Georgia" w:eastAsia="Georgia" w:hAnsi="Georgia"/>
          <w:i w:val="1"/>
          <w:iCs w:val="1"/>
          <w:color w:val="333333"/>
          <w:sz w:val="20"/>
          <w:szCs w:val="20"/>
          <w:rtl w:val="0"/>
        </w:rPr>
        <w:t xml:space="preserve">Weave Well to Lead Well: Attracting, Retaining, and Leveraging Refugee and Immigrant Talent for Your Business</w:t>
      </w:r>
      <w:r w:rsidDel="00000000" w:rsidR="00000000" w:rsidRPr="00000000">
        <w:rPr>
          <w:rFonts w:ascii="Georgia" w:cs="Georgia" w:eastAsia="Georgia" w:hAnsi="Georgia"/>
          <w:color w:val="333333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323130"/>
          <w:sz w:val="20"/>
          <w:szCs w:val="20"/>
          <w:rtl w:val="0"/>
        </w:rPr>
        <w:t xml:space="preserve">Training</w:t>
      </w:r>
      <w:r w:rsidDel="00000000" w:rsidR="00000000" w:rsidRPr="00000000">
        <w:rPr>
          <w:rFonts w:ascii="Georgia" w:cs="Georgia" w:eastAsia="Georgia" w:hAnsi="Georgia"/>
          <w:color w:val="323130"/>
          <w:sz w:val="20"/>
          <w:szCs w:val="20"/>
          <w:rtl w:val="0"/>
        </w:rPr>
        <w:t xml:space="preserve">. WeaveTales, Online,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Georgia" w:cs="Georgia" w:eastAsia="Georgia" w:hAnsi="Georgia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sz w:val="20"/>
          <w:szCs w:val="20"/>
          <w:rtl w:val="0"/>
        </w:rPr>
        <w:t xml:space="preserve">SKILLS 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AND PERSONAL VALUES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Data Collection and Program Evaluation: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Focus groups, participant observation, case studies, and surveys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Interpersonal: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Strategic problem-solver experienced in remote/hybrid team leadership</w:t>
      </w: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Languages: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Haitian Creole (Native Fluency), French (Advanced Fluency), and Spanish (Beginner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Fluency) </w:t>
      </w:r>
    </w:p>
    <w:p w:rsidR="00000000" w:rsidDel="00000000" w:rsidP="00000000" w:rsidRDefault="00000000" w:rsidRPr="00000000" w14:paraId="00000044">
      <w:pPr>
        <w:widowControl w:val="0"/>
        <w:numPr>
          <w:ilvl w:val="0"/>
          <w:numId w:val="6"/>
        </w:numPr>
        <w:ind w:left="720" w:hanging="360"/>
        <w:rPr>
          <w:rFonts w:ascii="Georgia" w:cs="Georgia" w:eastAsia="Georgia" w:hAnsi="Georgia"/>
          <w:b w:val="1"/>
          <w:bCs w:val="1"/>
          <w:sz w:val="20"/>
          <w:szCs w:val="2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Personal Values: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Integrity, service, collaboration, and lifelong learning</w:t>
      </w:r>
      <w:r w:rsidDel="00000000" w:rsidR="00000000" w:rsidRPr="00000000">
        <w:rPr>
          <w:rFonts w:ascii="Georgia" w:cs="Georgia" w:eastAsia="Georgia" w:hAnsi="Georgi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Technology and Systems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Microsoft 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and 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Google Suite, Zoom, Slack, Canva, Teams, Qual</w:t>
      </w:r>
      <w:r w:rsidDel="00000000" w:rsidR="00000000" w:rsidRPr="00000000">
        <w:rPr>
          <w:rFonts w:ascii="Georgia" w:cs="Georgia" w:eastAsia="Georgia" w:hAnsi="Georgia"/>
          <w:sz w:val="20"/>
          <w:szCs w:val="20"/>
          <w:rtl w:val="0"/>
        </w:rPr>
        <w:t xml:space="preserve">trics, SurveyMonkey</w:t>
      </w:r>
      <w:r w:rsidDel="00000000" w:rsidR="00000000" w:rsidRPr="00000000">
        <w:rPr>
          <w:rFonts w:ascii="Georgia" w:cs="Georgia" w:eastAsia="Georgia" w:hAnsi="Georgi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Calendly, MURAL, and open to master new software </w:t>
      </w:r>
      <w:r w:rsidDel="00000000" w:rsidR="00000000" w:rsidRPr="00000000">
        <w:rPr>
          <w:rtl w:val="0"/>
        </w:rPr>
      </w:r>
    </w:p>
    <w:sectPr>
      <w:headerReference r:id="rId26" w:type="default"/>
      <w:footerReference r:id="rId27" w:type="default"/>
      <w:footerReference r:id="rId28" w:type="even"/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Georgia" w:cs="Georgia" w:eastAsia="Georgia" w:hAnsi="Georgia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sz w:val="20"/>
        <w:szCs w:val="20"/>
        <w:rtl w:val="0"/>
      </w:rPr>
      <w:t xml:space="preserve">Cenatus </w:t>
    </w:r>
    <w:r w:rsidDel="00000000" w:rsidR="00000000" w:rsidRPr="00000000">
      <w:rPr>
        <w:rFonts w:ascii="Georgia" w:cs="Georgia" w:eastAsia="Georgia" w:hAnsi="Georgia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/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793928"/>
    <w:rPr>
      <w:rFonts w:ascii="Times New Roman" w:cs="Times New Roman" w:eastAsia="Times New Roman" w:hAnsi="Times New Roman"/>
    </w:rPr>
  </w:style>
  <w:style w:type="paragraph" w:styleId="Heading4">
    <w:name w:val="heading 4"/>
    <w:basedOn w:val="Normal"/>
    <w:link w:val="Heading4Char"/>
    <w:uiPriority w:val="9"/>
    <w:qFormat w:val="1"/>
    <w:rsid w:val="00EA5D4F"/>
    <w:pPr>
      <w:spacing w:after="100" w:afterAutospacing="1" w:before="100" w:beforeAutospacing="1"/>
      <w:outlineLvl w:val="3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793928"/>
    <w:rPr>
      <w:color w:val="0563c1" w:themeColor="hyperlink"/>
      <w:u w:val="single"/>
    </w:rPr>
  </w:style>
  <w:style w:type="paragraph" w:styleId="divaddress" w:customStyle="1">
    <w:name w:val="div_address"/>
    <w:basedOn w:val="Normal"/>
    <w:rsid w:val="00793928"/>
    <w:pPr>
      <w:spacing w:line="340" w:lineRule="atLeast"/>
      <w:jc w:val="center"/>
    </w:pPr>
  </w:style>
  <w:style w:type="character" w:styleId="divdocumentdivaddressli" w:customStyle="1">
    <w:name w:val="div_document_div_address_li"/>
    <w:basedOn w:val="DefaultParagraphFont"/>
    <w:rsid w:val="00793928"/>
  </w:style>
  <w:style w:type="paragraph" w:styleId="NoSpacing">
    <w:name w:val="No Spacing"/>
    <w:uiPriority w:val="1"/>
    <w:qFormat w:val="1"/>
    <w:rsid w:val="00793928"/>
    <w:rPr>
      <w:sz w:val="22"/>
      <w:szCs w:val="22"/>
    </w:rPr>
  </w:style>
  <w:style w:type="paragraph" w:styleId="ListParagraph">
    <w:name w:val="List Paragraph"/>
    <w:basedOn w:val="Normal"/>
    <w:uiPriority w:val="34"/>
    <w:qFormat w:val="1"/>
    <w:rsid w:val="00793928"/>
    <w:pPr>
      <w:ind w:left="720"/>
      <w:contextualSpacing w:val="1"/>
    </w:pPr>
  </w:style>
  <w:style w:type="paragraph" w:styleId="Footer">
    <w:name w:val="footer"/>
    <w:basedOn w:val="Normal"/>
    <w:link w:val="FooterChar"/>
    <w:uiPriority w:val="99"/>
    <w:unhideWhenUsed w:val="1"/>
    <w:rsid w:val="0079392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93928"/>
    <w:rPr>
      <w:rFonts w:ascii="Times New Roman" w:cs="Times New Roman" w:eastAsia="Times New Roman" w:hAnsi="Times New Roman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793928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BF7E31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 w:val="1"/>
    <w:rsid w:val="00110D37"/>
    <w:pPr>
      <w:widowControl w:val="0"/>
      <w:autoSpaceDE w:val="0"/>
      <w:autoSpaceDN w:val="0"/>
    </w:pPr>
    <w:rPr>
      <w:rFonts w:ascii="Cambria" w:cs="Cambria" w:eastAsia="Cambria" w:hAnsi="Cambria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110D37"/>
    <w:rPr>
      <w:rFonts w:ascii="Cambria" w:cs="Cambria" w:eastAsia="Cambria" w:hAnsi="Cambr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1175F"/>
    <w:rPr>
      <w:color w:val="605e5c"/>
      <w:shd w:color="auto" w:fill="e1dfdd" w:val="clear"/>
    </w:rPr>
  </w:style>
  <w:style w:type="character" w:styleId="apple-converted-space" w:customStyle="1">
    <w:name w:val="apple-converted-space"/>
    <w:basedOn w:val="DefaultParagraphFont"/>
    <w:rsid w:val="007C11B5"/>
  </w:style>
  <w:style w:type="paragraph" w:styleId="NormalWeb">
    <w:name w:val="Normal (Web)"/>
    <w:basedOn w:val="Normal"/>
    <w:uiPriority w:val="99"/>
    <w:unhideWhenUsed w:val="1"/>
    <w:rsid w:val="00CA3183"/>
    <w:pPr>
      <w:spacing w:after="100" w:afterAutospacing="1" w:before="100" w:beforeAutospacing="1"/>
    </w:pPr>
  </w:style>
  <w:style w:type="character" w:styleId="issue-underline" w:customStyle="1">
    <w:name w:val="issue-underline"/>
    <w:basedOn w:val="DefaultParagraphFont"/>
    <w:rsid w:val="00126404"/>
  </w:style>
  <w:style w:type="paragraph" w:styleId="pb-2" w:customStyle="1">
    <w:name w:val="pb-2"/>
    <w:basedOn w:val="Normal"/>
    <w:rsid w:val="00126404"/>
    <w:pPr>
      <w:spacing w:after="100" w:afterAutospacing="1" w:before="100" w:beforeAutospacing="1"/>
    </w:pPr>
  </w:style>
  <w:style w:type="character" w:styleId="Heading4Char" w:customStyle="1">
    <w:name w:val="Heading 4 Char"/>
    <w:basedOn w:val="DefaultParagraphFont"/>
    <w:link w:val="Heading4"/>
    <w:uiPriority w:val="9"/>
    <w:rsid w:val="00EA5D4F"/>
    <w:rPr>
      <w:rFonts w:ascii="Times New Roman" w:cs="Times New Roman" w:eastAsia="Times New Roman" w:hAnsi="Times New Roman"/>
      <w:b w:val="1"/>
      <w:bCs w:val="1"/>
    </w:rPr>
  </w:style>
  <w:style w:type="paragraph" w:styleId="whitespace-normal" w:customStyle="1">
    <w:name w:val="whitespace-normal"/>
    <w:basedOn w:val="Normal"/>
    <w:rsid w:val="00692598"/>
    <w:pPr>
      <w:spacing w:after="100" w:afterAutospacing="1" w:before="100" w:beforeAutospacing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haitianstudies.org/2025/03/h-s-a-s-37th-annual-conference-submit-your-proposal/" TargetMode="External"/><Relationship Id="rId22" Type="http://schemas.openxmlformats.org/officeDocument/2006/relationships/hyperlink" Target="https://www.ufwfoundation.org" TargetMode="External"/><Relationship Id="rId21" Type="http://schemas.openxmlformats.org/officeDocument/2006/relationships/hyperlink" Target="https://www.weavetales.org/our-purpose" TargetMode="External"/><Relationship Id="rId24" Type="http://schemas.openxmlformats.org/officeDocument/2006/relationships/hyperlink" Target="https://www.mdhumanities.org/event/designing-culturally-sensitive-programming-share-authority-workshop/" TargetMode="External"/><Relationship Id="rId23" Type="http://schemas.openxmlformats.org/officeDocument/2006/relationships/hyperlink" Target="https://intersections.humanities.ufl.edu/abou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ogle.com/search?client=safari&amp;rls=en&amp;q=leadership+maryland&amp;ie=UTF-8&amp;oe=UTF-8" TargetMode="External"/><Relationship Id="rId26" Type="http://schemas.openxmlformats.org/officeDocument/2006/relationships/header" Target="header1.xml"/><Relationship Id="rId25" Type="http://schemas.openxmlformats.org/officeDocument/2006/relationships/hyperlink" Target="https://humanities.ufl.edu/conversations-in-the-neighborhood/black-love-creativity-expressions-and-its-gifts/" TargetMode="External"/><Relationship Id="rId28" Type="http://schemas.openxmlformats.org/officeDocument/2006/relationships/footer" Target="footer1.xml"/><Relationship Id="rId27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hedailyrecord.com/leading-women/winners/" TargetMode="External"/><Relationship Id="rId8" Type="http://schemas.openxmlformats.org/officeDocument/2006/relationships/hyperlink" Target="https://planning.maryland.gov/Pages/md250.aspx" TargetMode="External"/><Relationship Id="rId11" Type="http://schemas.openxmlformats.org/officeDocument/2006/relationships/hyperlink" Target="https://www.weavetales.org/" TargetMode="External"/><Relationship Id="rId10" Type="http://schemas.openxmlformats.org/officeDocument/2006/relationships/hyperlink" Target="https://www.weavetales.org/business-toolkit-download-pdf" TargetMode="External"/><Relationship Id="rId13" Type="http://schemas.openxmlformats.org/officeDocument/2006/relationships/hyperlink" Target="https://www.neh.gov" TargetMode="External"/><Relationship Id="rId12" Type="http://schemas.openxmlformats.org/officeDocument/2006/relationships/hyperlink" Target="https://www.neh.gov/news/united-we-stand-connecting-through-culture-marks-two-years-national-convening" TargetMode="External"/><Relationship Id="rId15" Type="http://schemas.openxmlformats.org/officeDocument/2006/relationships/hyperlink" Target="https://humanities.ufl.edu/20-21-newsletter/conversations-in-the-neighborhood-lets-talk-about-food-2/" TargetMode="External"/><Relationship Id="rId14" Type="http://schemas.openxmlformats.org/officeDocument/2006/relationships/hyperlink" Target="https://humanities.ufl.edu/20-21-newsletter/conversations-in-the-neighborhood-lets-talk-about-food-2/" TargetMode="External"/><Relationship Id="rId17" Type="http://schemas.openxmlformats.org/officeDocument/2006/relationships/hyperlink" Target="https://humanities.ufl.edu/humanities-engagement-scholar/" TargetMode="External"/><Relationship Id="rId16" Type="http://schemas.openxmlformats.org/officeDocument/2006/relationships/hyperlink" Target="https://humanities.ufl.edu/20-21-newsletter/conversations-in-the-neighborhood-lets-talk-about-food-2/" TargetMode="External"/><Relationship Id="rId19" Type="http://schemas.openxmlformats.org/officeDocument/2006/relationships/hyperlink" Target="https://exhibits.uflib.ufl.edu/HaitianAmericanDream/" TargetMode="External"/><Relationship Id="rId18" Type="http://schemas.openxmlformats.org/officeDocument/2006/relationships/hyperlink" Target="https://humanities.ufl.edu/files/PublicHumanitiesGrantGuidelines2022-23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TqMn9i58WWzhXBLRF8Xjz4lu5w==">CgMxLjA4AHIhMWNjbEo3Q1FTcTc1eDVwOTdUdUpTbno3LTU2S2hhX2pt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2022-07-08T00:08:00Z</dcterms:created>
  <dc:creator>ALexandra Cenatus</dc:creator>
</cp:coreProperties>
</file>